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942" w:rsidRDefault="00EB0942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</w:t>
      </w:r>
      <w:r w:rsidR="006E0ABF">
        <w:rPr>
          <w:rFonts w:cs="Arial"/>
          <w:bCs/>
          <w:sz w:val="22"/>
        </w:rPr>
        <w:t>8</w:t>
      </w:r>
      <w:r w:rsidR="006B7B6B">
        <w:rPr>
          <w:rFonts w:cs="Arial"/>
          <w:bCs/>
          <w:sz w:val="22"/>
        </w:rPr>
        <w:t>6</w:t>
      </w:r>
      <w:r>
        <w:rPr>
          <w:rFonts w:cs="Arial"/>
          <w:bCs/>
          <w:sz w:val="22"/>
        </w:rPr>
        <w:tab/>
        <w:t>S3-</w:t>
      </w:r>
      <w:r w:rsidR="007362D1">
        <w:rPr>
          <w:rFonts w:cs="Arial"/>
          <w:bCs/>
          <w:sz w:val="22"/>
        </w:rPr>
        <w:t>17</w:t>
      </w:r>
      <w:r w:rsidR="007362D1">
        <w:rPr>
          <w:rFonts w:cs="Arial"/>
          <w:bCs/>
          <w:sz w:val="22"/>
        </w:rPr>
        <w:t>0088</w:t>
      </w:r>
    </w:p>
    <w:p w:rsidR="00EB0942" w:rsidRDefault="006B7B6B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6</w:t>
      </w:r>
      <w:r w:rsidR="00596E35">
        <w:rPr>
          <w:rFonts w:cs="Arial"/>
          <w:bCs/>
          <w:sz w:val="22"/>
        </w:rPr>
        <w:t>-1</w:t>
      </w:r>
      <w:r>
        <w:rPr>
          <w:rFonts w:cs="Arial"/>
          <w:bCs/>
          <w:sz w:val="22"/>
        </w:rPr>
        <w:t>0</w:t>
      </w:r>
      <w:r w:rsidR="00596E35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February</w:t>
      </w:r>
      <w:r w:rsidR="00BE39A0">
        <w:rPr>
          <w:rFonts w:cs="Arial"/>
          <w:bCs/>
          <w:sz w:val="22"/>
        </w:rPr>
        <w:t xml:space="preserve"> 201</w:t>
      </w:r>
      <w:r>
        <w:rPr>
          <w:rFonts w:cs="Arial"/>
          <w:bCs/>
          <w:sz w:val="22"/>
        </w:rPr>
        <w:t>7</w:t>
      </w:r>
      <w:r w:rsidR="000C624D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Sophia Antipolis</w:t>
      </w:r>
      <w:r w:rsidR="00596E35">
        <w:rPr>
          <w:rFonts w:cs="Arial"/>
          <w:bCs/>
          <w:sz w:val="22"/>
        </w:rPr>
        <w:t xml:space="preserve"> (</w:t>
      </w:r>
      <w:r>
        <w:rPr>
          <w:rFonts w:cs="Arial"/>
          <w:bCs/>
          <w:sz w:val="22"/>
        </w:rPr>
        <w:t>France</w:t>
      </w:r>
      <w:r w:rsidR="00CD11A4">
        <w:rPr>
          <w:rFonts w:cs="Arial"/>
          <w:bCs/>
          <w:sz w:val="22"/>
        </w:rPr>
        <w:t>)</w:t>
      </w:r>
      <w:r w:rsidR="00596E35">
        <w:rPr>
          <w:rFonts w:cs="Arial"/>
          <w:bCs/>
          <w:sz w:val="22"/>
        </w:rPr>
        <w:tab/>
      </w:r>
      <w:r w:rsidR="00EB0942">
        <w:rPr>
          <w:rFonts w:cs="Arial"/>
          <w:b w:val="0"/>
          <w:i/>
          <w:szCs w:val="18"/>
        </w:rPr>
        <w:t>revision of S3-1</w:t>
      </w:r>
      <w:r>
        <w:rPr>
          <w:rFonts w:cs="Arial"/>
          <w:b w:val="0"/>
          <w:i/>
          <w:szCs w:val="18"/>
        </w:rPr>
        <w:t>7</w:t>
      </w:r>
      <w:r w:rsidR="00EB0942">
        <w:rPr>
          <w:rFonts w:cs="Arial"/>
          <w:b w:val="0"/>
          <w:i/>
          <w:szCs w:val="18"/>
        </w:rPr>
        <w:t>abcd</w:t>
      </w:r>
    </w:p>
    <w:p w:rsidR="00EB094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EB0942" w:rsidRPr="0081731F" w:rsidRDefault="00EB0942">
      <w:pPr>
        <w:spacing w:before="120" w:after="0"/>
        <w:ind w:left="2127" w:hanging="2127"/>
        <w:rPr>
          <w:rFonts w:ascii="Arial" w:eastAsia="MS Mincho" w:hAnsi="Arial"/>
          <w:b/>
          <w:lang w:val="de-DE" w:eastAsia="ja-JP"/>
        </w:rPr>
      </w:pPr>
      <w:r w:rsidRPr="0081731F">
        <w:rPr>
          <w:rFonts w:ascii="Arial" w:eastAsia="MS Mincho" w:hAnsi="Arial"/>
          <w:b/>
          <w:lang w:val="de-DE" w:eastAsia="ja-JP"/>
        </w:rPr>
        <w:t>Source:</w:t>
      </w:r>
      <w:r w:rsidRPr="0081731F">
        <w:rPr>
          <w:rFonts w:ascii="Arial" w:eastAsia="MS Mincho" w:hAnsi="Arial"/>
          <w:b/>
          <w:lang w:val="de-DE" w:eastAsia="ja-JP"/>
        </w:rPr>
        <w:tab/>
      </w:r>
      <w:r w:rsidR="006B7B6B" w:rsidRPr="0081731F">
        <w:rPr>
          <w:rFonts w:ascii="Arial" w:eastAsia="MS Mincho" w:hAnsi="Arial"/>
          <w:b/>
          <w:lang w:val="de-DE" w:eastAsia="ja-JP"/>
        </w:rPr>
        <w:t>KPN</w:t>
      </w:r>
      <w:r w:rsidR="0039206D" w:rsidRPr="0081731F">
        <w:rPr>
          <w:rFonts w:ascii="Arial" w:eastAsia="MS Mincho" w:hAnsi="Arial"/>
          <w:b/>
          <w:lang w:val="de-DE" w:eastAsia="ja-JP"/>
        </w:rPr>
        <w:t xml:space="preserve">, </w:t>
      </w:r>
      <w:r w:rsidR="00BB2535" w:rsidRPr="00BB2535">
        <w:rPr>
          <w:rFonts w:ascii="Arial" w:eastAsia="MS Mincho" w:hAnsi="Arial"/>
          <w:b/>
          <w:lang w:val="de-DE" w:eastAsia="ja-JP"/>
        </w:rPr>
        <w:t xml:space="preserve"> </w:t>
      </w:r>
      <w:proofErr w:type="spellStart"/>
      <w:r w:rsidR="00BB2535" w:rsidRPr="0081731F">
        <w:rPr>
          <w:rFonts w:ascii="Arial" w:eastAsia="MS Mincho" w:hAnsi="Arial"/>
          <w:b/>
          <w:lang w:val="de-DE" w:eastAsia="ja-JP"/>
        </w:rPr>
        <w:t>Juniper</w:t>
      </w:r>
      <w:proofErr w:type="spellEnd"/>
      <w:r w:rsidR="00BB2535">
        <w:rPr>
          <w:rFonts w:ascii="Arial" w:eastAsia="MS Mincho" w:hAnsi="Arial"/>
          <w:b/>
          <w:lang w:val="de-DE" w:eastAsia="ja-JP"/>
        </w:rPr>
        <w:t xml:space="preserve"> </w:t>
      </w:r>
      <w:r w:rsidR="00032A98">
        <w:rPr>
          <w:rFonts w:ascii="Arial" w:eastAsia="MS Mincho" w:hAnsi="Arial"/>
          <w:b/>
          <w:lang w:val="de-DE" w:eastAsia="ja-JP"/>
        </w:rPr>
        <w:t>Networks</w:t>
      </w:r>
      <w:r w:rsidR="00B6514C">
        <w:rPr>
          <w:rFonts w:ascii="Arial" w:eastAsia="MS Mincho" w:hAnsi="Arial"/>
          <w:b/>
          <w:lang w:val="de-DE" w:eastAsia="ja-JP"/>
        </w:rPr>
        <w:t xml:space="preserve">, </w:t>
      </w:r>
      <w:r w:rsidR="00B6514C" w:rsidRPr="0081731F">
        <w:rPr>
          <w:rFonts w:ascii="Arial" w:eastAsia="MS Mincho" w:hAnsi="Arial"/>
          <w:b/>
          <w:lang w:val="de-DE" w:eastAsia="ja-JP"/>
        </w:rPr>
        <w:t>Deutsche Telekom</w:t>
      </w:r>
      <w:r w:rsidR="00115181">
        <w:rPr>
          <w:rFonts w:ascii="Arial" w:eastAsia="MS Mincho" w:hAnsi="Arial"/>
          <w:b/>
          <w:lang w:val="de-DE" w:eastAsia="ja-JP"/>
        </w:rPr>
        <w:t>, BT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1306A7">
        <w:rPr>
          <w:rFonts w:ascii="Arial" w:eastAsia="MS Mincho" w:hAnsi="Arial"/>
          <w:b/>
          <w:lang w:eastAsia="ja-JP"/>
        </w:rPr>
        <w:t>Solution for</w:t>
      </w:r>
      <w:r w:rsidR="006F0925" w:rsidRPr="006F0925">
        <w:rPr>
          <w:rFonts w:ascii="Arial" w:eastAsia="MS Mincho" w:hAnsi="Arial"/>
          <w:b/>
          <w:lang w:eastAsia="ja-JP"/>
        </w:rPr>
        <w:t xml:space="preserve"> User plane</w:t>
      </w:r>
      <w:r w:rsidR="00EC23FC">
        <w:rPr>
          <w:rFonts w:ascii="Arial" w:eastAsia="MS Mincho" w:hAnsi="Arial"/>
          <w:b/>
          <w:lang w:eastAsia="ja-JP"/>
        </w:rPr>
        <w:t xml:space="preserve"> security termination point</w:t>
      </w:r>
      <w:bookmarkStart w:id="0" w:name="_GoBack"/>
      <w:bookmarkEnd w:id="0"/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3D5158">
        <w:rPr>
          <w:rFonts w:ascii="Arial" w:eastAsia="MS Mincho" w:hAnsi="Arial"/>
          <w:b/>
          <w:lang w:eastAsia="ja-JP"/>
        </w:rPr>
        <w:t>Agreement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1731F">
        <w:rPr>
          <w:rFonts w:ascii="Arial" w:eastAsia="MS Mincho" w:hAnsi="Arial"/>
          <w:b/>
          <w:lang w:eastAsia="ja-JP"/>
        </w:rPr>
        <w:t>8.4.1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81731F">
        <w:rPr>
          <w:rFonts w:ascii="Arial" w:eastAsia="MS Mincho" w:hAnsi="Arial"/>
          <w:b/>
          <w:lang w:eastAsia="ja-JP"/>
        </w:rPr>
        <w:t>Rel-14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  <w:r w:rsidR="0057163F">
        <w:rPr>
          <w:rFonts w:ascii="Arial" w:eastAsia="MS Mincho" w:hAnsi="Arial"/>
          <w:i/>
          <w:lang w:eastAsia="ja-JP"/>
        </w:rPr>
        <w:t xml:space="preserve"> This contribution </w:t>
      </w:r>
      <w:r w:rsidR="0081731F">
        <w:rPr>
          <w:rFonts w:ascii="Arial" w:eastAsia="MS Mincho" w:hAnsi="Arial"/>
          <w:i/>
          <w:lang w:eastAsia="ja-JP"/>
        </w:rPr>
        <w:t>proposes</w:t>
      </w:r>
      <w:r w:rsidR="001306A7">
        <w:rPr>
          <w:rFonts w:ascii="Arial" w:eastAsia="MS Mincho" w:hAnsi="Arial"/>
          <w:i/>
          <w:lang w:eastAsia="ja-JP"/>
        </w:rPr>
        <w:t xml:space="preserve"> a solution for KI1.15: flexible user plane security termination point.</w:t>
      </w:r>
    </w:p>
    <w:p w:rsidR="00EB0942" w:rsidRPr="00E8526A" w:rsidRDefault="00EB0942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:rsidR="00EB0942" w:rsidRDefault="006B7B6B" w:rsidP="006B7B6B">
      <w:pPr>
        <w:pStyle w:val="Heading1"/>
      </w:pPr>
      <w:r>
        <w:t>1. Introduction</w:t>
      </w:r>
    </w:p>
    <w:p w:rsidR="005D35C9" w:rsidRDefault="006F0925" w:rsidP="006B7B6B">
      <w:r>
        <w:t>The key issue</w:t>
      </w:r>
      <w:r w:rsidR="001306A7">
        <w:t xml:space="preserve"> #1.15</w:t>
      </w:r>
      <w:r>
        <w:t xml:space="preserve"> addresses the need for:</w:t>
      </w:r>
    </w:p>
    <w:p w:rsidR="00EC23FC" w:rsidRDefault="006F0925" w:rsidP="00EC23FC">
      <w:r>
        <w:t>-</w:t>
      </w:r>
      <w:r>
        <w:tab/>
      </w:r>
      <w:r w:rsidR="004858A7">
        <w:t xml:space="preserve">One or more </w:t>
      </w:r>
      <w:r w:rsidR="00EC23FC">
        <w:t>flexible UP security termination point</w:t>
      </w:r>
      <w:r w:rsidR="004858A7">
        <w:t>s</w:t>
      </w:r>
    </w:p>
    <w:p w:rsidR="00EC23FC" w:rsidRDefault="00EC23FC" w:rsidP="00EC23FC">
      <w:r>
        <w:tab/>
        <w:t>-</w:t>
      </w:r>
      <w:r>
        <w:tab/>
        <w:t xml:space="preserve">That </w:t>
      </w:r>
      <w:r w:rsidR="004858A7">
        <w:t xml:space="preserve">may </w:t>
      </w:r>
      <w:r>
        <w:t>coincide with the UP-GW;</w:t>
      </w:r>
    </w:p>
    <w:p w:rsidR="00EC23FC" w:rsidRDefault="00EC23FC" w:rsidP="00EC23FC">
      <w:r>
        <w:tab/>
        <w:t>-</w:t>
      </w:r>
      <w:r>
        <w:tab/>
        <w:t>And is positioned ‘deeper’ in the network</w:t>
      </w:r>
      <w:r w:rsidR="0039206D">
        <w:t xml:space="preserve">, such as beyond the </w:t>
      </w:r>
      <w:proofErr w:type="spellStart"/>
      <w:r w:rsidR="0039206D">
        <w:t>gNB</w:t>
      </w:r>
      <w:proofErr w:type="spellEnd"/>
      <w:r>
        <w:t>;</w:t>
      </w:r>
    </w:p>
    <w:p w:rsidR="00EC23FC" w:rsidRDefault="00EC23FC" w:rsidP="00EC23FC">
      <w:r>
        <w:tab/>
        <w:t>-</w:t>
      </w:r>
      <w:r>
        <w:tab/>
        <w:t>And can mitigate the threats resulting from NFV.</w:t>
      </w:r>
    </w:p>
    <w:p w:rsidR="00EC23FC" w:rsidRDefault="00EC23FC" w:rsidP="00EC23FC">
      <w:r>
        <w:t>-</w:t>
      </w:r>
      <w:r>
        <w:tab/>
        <w:t>Different UP security termination points on a per slice basis;</w:t>
      </w:r>
    </w:p>
    <w:p w:rsidR="004858A7" w:rsidRDefault="004858A7" w:rsidP="00EC23FC">
      <w:r>
        <w:t>-</w:t>
      </w:r>
      <w:r>
        <w:tab/>
        <w:t>Different UP security termination points</w:t>
      </w:r>
      <w:r w:rsidR="00422D7B">
        <w:t>,</w:t>
      </w:r>
      <w:r>
        <w:t xml:space="preserve"> </w:t>
      </w:r>
      <w:r w:rsidR="00422D7B">
        <w:t>selectable according to traffic type (e.g. similar to APN concept)</w:t>
      </w:r>
      <w:r>
        <w:t>;</w:t>
      </w:r>
    </w:p>
    <w:p w:rsidR="00EC23FC" w:rsidRDefault="00EC23FC" w:rsidP="00EC23FC">
      <w:r>
        <w:t>-</w:t>
      </w:r>
      <w:r>
        <w:tab/>
        <w:t>Different UP security termination points for heterogeneous access to networks</w:t>
      </w:r>
    </w:p>
    <w:p w:rsidR="00D92DE9" w:rsidRDefault="001306A7" w:rsidP="00D92DE9">
      <w:pPr>
        <w:pStyle w:val="Heading1"/>
      </w:pPr>
      <w:r>
        <w:t>2</w:t>
      </w:r>
      <w:r w:rsidR="000316B1">
        <w:t>. Analysis and proposal</w:t>
      </w:r>
    </w:p>
    <w:p w:rsidR="000316B1" w:rsidRDefault="000316B1" w:rsidP="000316B1">
      <w:pPr>
        <w:pStyle w:val="Heading2"/>
      </w:pPr>
      <w:r>
        <w:t>2.1 Analysis</w:t>
      </w:r>
    </w:p>
    <w:p w:rsidR="00EC23FC" w:rsidRDefault="00EC23FC" w:rsidP="00EC23FC">
      <w:r>
        <w:t xml:space="preserve">One option would be to follow the LTE model and terminate the UP security in the </w:t>
      </w:r>
      <w:proofErr w:type="spellStart"/>
      <w:r>
        <w:t>eNB</w:t>
      </w:r>
      <w:proofErr w:type="spellEnd"/>
      <w:r>
        <w:t xml:space="preserve">. For </w:t>
      </w:r>
      <w:proofErr w:type="spellStart"/>
      <w:r>
        <w:t>NextGen</w:t>
      </w:r>
      <w:proofErr w:type="spellEnd"/>
      <w:r>
        <w:t xml:space="preserve"> networks this is not desirable because:</w:t>
      </w:r>
    </w:p>
    <w:p w:rsidR="00EC23FC" w:rsidRDefault="00C34D46" w:rsidP="00EC23FC">
      <w:r>
        <w:t>-</w:t>
      </w:r>
      <w:r>
        <w:tab/>
        <w:t>Small cell deployments in less secure locations may be more prevalent</w:t>
      </w:r>
    </w:p>
    <w:p w:rsidR="00C34D46" w:rsidRDefault="00C34D46" w:rsidP="00EC23FC">
      <w:r>
        <w:t>-</w:t>
      </w:r>
      <w:r>
        <w:tab/>
        <w:t>It is expected that many more parties control parts of the heterogeneous access network</w:t>
      </w:r>
    </w:p>
    <w:p w:rsidR="009E4EA0" w:rsidRDefault="009E4EA0" w:rsidP="00EC23FC">
      <w:r>
        <w:t>-</w:t>
      </w:r>
      <w:r>
        <w:tab/>
        <w:t>Back-to-back termination and re-establishment of security for backhaul and UE in the base station is inefficient</w:t>
      </w:r>
    </w:p>
    <w:p w:rsidR="00823CC8" w:rsidRDefault="007D3FD4" w:rsidP="0057163F">
      <w:pPr>
        <w:ind w:left="284" w:hanging="284"/>
      </w:pPr>
      <w:r>
        <w:t>-</w:t>
      </w:r>
      <w:r>
        <w:tab/>
        <w:t>It does not address use cases with different security requirements for different traffic flows per UE</w:t>
      </w:r>
      <w:r w:rsidR="006F3B83">
        <w:t xml:space="preserve"> in an efficient way</w:t>
      </w:r>
      <w:r>
        <w:t xml:space="preserve">. For example: traffic with ultra-low latency requirements must be terminated in a location close to the UE, while </w:t>
      </w:r>
      <w:r w:rsidR="006F3B83">
        <w:t xml:space="preserve">other </w:t>
      </w:r>
      <w:r>
        <w:t xml:space="preserve">traffic from the same UE for other services </w:t>
      </w:r>
      <w:r w:rsidR="006F3B83">
        <w:t>needs protection</w:t>
      </w:r>
      <w:r>
        <w:t xml:space="preserve"> </w:t>
      </w:r>
      <w:r w:rsidR="006F3B83">
        <w:t>through the whole backhaul</w:t>
      </w:r>
      <w:r>
        <w:t>.</w:t>
      </w:r>
    </w:p>
    <w:p w:rsidR="000316B1" w:rsidRDefault="000316B1" w:rsidP="000316B1">
      <w:r>
        <w:t xml:space="preserve">In summary, the </w:t>
      </w:r>
      <w:r w:rsidR="00C34D46">
        <w:t xml:space="preserve">chance of having a compromised access node is increased compared to LTE. As such, it is desirable to </w:t>
      </w:r>
      <w:r w:rsidR="008F66A3">
        <w:t xml:space="preserve">terminate the </w:t>
      </w:r>
      <w:r w:rsidR="00C34D46">
        <w:t xml:space="preserve">UP security beyond the </w:t>
      </w:r>
      <w:proofErr w:type="spellStart"/>
      <w:r w:rsidR="006F3B83">
        <w:t>gNB</w:t>
      </w:r>
      <w:proofErr w:type="spellEnd"/>
      <w:r w:rsidR="00C34D46">
        <w:t>.</w:t>
      </w:r>
      <w:r w:rsidR="008F66A3">
        <w:t xml:space="preserve"> </w:t>
      </w:r>
      <w:proofErr w:type="spellStart"/>
      <w:r>
        <w:t>Additinally</w:t>
      </w:r>
      <w:proofErr w:type="spellEnd"/>
      <w:r>
        <w:t>, it is desirable to be able to have different locations of the user plane security termination depending on the use case.</w:t>
      </w:r>
    </w:p>
    <w:p w:rsidR="00C34D46" w:rsidRDefault="000316B1" w:rsidP="00C34D46">
      <w:pPr>
        <w:pStyle w:val="Heading2"/>
      </w:pPr>
      <w:r>
        <w:t>2</w:t>
      </w:r>
      <w:r w:rsidR="00C34D46">
        <w:t>.2 P</w:t>
      </w:r>
      <w:r>
        <w:t>roposal</w:t>
      </w:r>
    </w:p>
    <w:p w:rsidR="000316B1" w:rsidRDefault="000316B1" w:rsidP="000316B1">
      <w:r>
        <w:t>The concrete proposal contains two parts, namely:</w:t>
      </w:r>
    </w:p>
    <w:p w:rsidR="000316B1" w:rsidRDefault="000316B1" w:rsidP="000316B1">
      <w:r>
        <w:t>-</w:t>
      </w:r>
      <w:r>
        <w:tab/>
        <w:t xml:space="preserve">Termination of the user plane security beyond the </w:t>
      </w:r>
      <w:proofErr w:type="spellStart"/>
      <w:r>
        <w:t>gNB</w:t>
      </w:r>
      <w:proofErr w:type="spellEnd"/>
      <w:r>
        <w:t xml:space="preserve"> to </w:t>
      </w:r>
      <w:r w:rsidR="00BB2535">
        <w:t xml:space="preserve">address the </w:t>
      </w:r>
      <w:r>
        <w:t>problem</w:t>
      </w:r>
      <w:r w:rsidR="00BB2535">
        <w:t>s</w:t>
      </w:r>
      <w:r>
        <w:t xml:space="preserve"> with compromised base stations and inefficiency.</w:t>
      </w:r>
    </w:p>
    <w:p w:rsidR="000316B1" w:rsidRDefault="000316B1" w:rsidP="000316B1">
      <w:r>
        <w:t>-</w:t>
      </w:r>
      <w:r>
        <w:tab/>
        <w:t>Introduction of a dedicated function that terminates the UP security, namely the User Plane Security Termination Function (UP-S</w:t>
      </w:r>
      <w:r w:rsidR="00BB2535">
        <w:t>TF</w:t>
      </w:r>
      <w:r>
        <w:t xml:space="preserve">) that can be flexibly located in the network (but beyond the </w:t>
      </w:r>
      <w:proofErr w:type="spellStart"/>
      <w:r>
        <w:t>gNB</w:t>
      </w:r>
      <w:proofErr w:type="spellEnd"/>
      <w:r>
        <w:t>) to cater for the different use cases.</w:t>
      </w:r>
    </w:p>
    <w:p w:rsidR="003D5158" w:rsidRDefault="000316B1" w:rsidP="003D5158">
      <w:pPr>
        <w:pStyle w:val="Heading1"/>
      </w:pPr>
      <w:r>
        <w:lastRenderedPageBreak/>
        <w:t>3</w:t>
      </w:r>
      <w:r w:rsidR="003D5158">
        <w:t>. Proposal</w:t>
      </w:r>
      <w:r>
        <w:t xml:space="preserve"> for Changes</w:t>
      </w:r>
    </w:p>
    <w:p w:rsidR="005D35C9" w:rsidRPr="003D5158" w:rsidRDefault="005D35C9" w:rsidP="005D35C9">
      <w:pPr>
        <w:pStyle w:val="Title"/>
      </w:pPr>
      <w:r w:rsidRPr="003D5158">
        <w:rPr>
          <w:highlight w:val="yellow"/>
        </w:rPr>
        <w:t>**** Beginning of change ****</w:t>
      </w:r>
      <w:r w:rsidRPr="003D5158">
        <w:t xml:space="preserve"> </w:t>
      </w:r>
    </w:p>
    <w:p w:rsidR="005D35C9" w:rsidRDefault="005D35C9" w:rsidP="005D35C9"/>
    <w:p w:rsidR="00BB2535" w:rsidRDefault="00BB2535" w:rsidP="00BB2535">
      <w:pPr>
        <w:pStyle w:val="Heading4"/>
        <w:rPr>
          <w:ins w:id="1" w:author="TNO - Sander de Kievit" w:date="2017-01-26T17:37:00Z"/>
        </w:rPr>
      </w:pPr>
      <w:bookmarkStart w:id="2" w:name="_Toc467572853"/>
      <w:bookmarkStart w:id="3" w:name="_Toc467857659"/>
      <w:ins w:id="4" w:author="TNO - Sander de Kievit" w:date="2017-01-26T17:37:00Z">
        <w:r>
          <w:t>5.1.4.#KI15#</w:t>
        </w:r>
        <w:r>
          <w:tab/>
        </w:r>
        <w:r>
          <w:tab/>
          <w:t>Solution 1.</w:t>
        </w:r>
        <w:r w:rsidRPr="00BB2535">
          <w:rPr>
            <w:highlight w:val="yellow"/>
          </w:rPr>
          <w:t>#KI15#</w:t>
        </w:r>
        <w:r>
          <w:t xml:space="preserve">: </w:t>
        </w:r>
      </w:ins>
      <w:bookmarkEnd w:id="2"/>
      <w:bookmarkEnd w:id="3"/>
      <w:ins w:id="5" w:author="TNO - Sander de Kievit" w:date="2017-01-27T09:56:00Z">
        <w:r w:rsidR="00B6514C">
          <w:t>Flexible UP security termination point</w:t>
        </w:r>
      </w:ins>
    </w:p>
    <w:p w:rsidR="00BB2535" w:rsidRDefault="00BB2535" w:rsidP="00BB2535">
      <w:pPr>
        <w:pStyle w:val="Heading5"/>
        <w:rPr>
          <w:ins w:id="6" w:author="TNO - Sander de Kievit" w:date="2017-01-26T17:37:00Z"/>
        </w:rPr>
      </w:pPr>
      <w:bookmarkStart w:id="7" w:name="_Toc450799644"/>
      <w:bookmarkStart w:id="8" w:name="_Toc452622409"/>
      <w:bookmarkStart w:id="9" w:name="_Toc452659382"/>
      <w:bookmarkStart w:id="10" w:name="_Toc452659795"/>
      <w:bookmarkStart w:id="11" w:name="_Toc452660214"/>
      <w:bookmarkStart w:id="12" w:name="_Toc452662362"/>
      <w:bookmarkStart w:id="13" w:name="_Toc452966473"/>
      <w:bookmarkStart w:id="14" w:name="_Toc452966890"/>
      <w:bookmarkStart w:id="15" w:name="_Toc452967304"/>
      <w:bookmarkStart w:id="16" w:name="_Toc452967717"/>
      <w:bookmarkStart w:id="17" w:name="_Toc452970026"/>
      <w:bookmarkStart w:id="18" w:name="_Toc457917999"/>
      <w:bookmarkStart w:id="19" w:name="_Toc457919067"/>
      <w:bookmarkStart w:id="20" w:name="_Toc467572854"/>
      <w:bookmarkStart w:id="21" w:name="_Toc467857660"/>
      <w:ins w:id="22" w:author="TNO - Sander de Kievit" w:date="2017-01-26T17:37:00Z">
        <w:r>
          <w:t>5.1.4.#KI15#.1</w:t>
        </w:r>
        <w:r>
          <w:tab/>
          <w:t>Introduction</w:t>
        </w:r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t xml:space="preserve">  </w:t>
        </w:r>
      </w:ins>
    </w:p>
    <w:p w:rsidR="00BB2535" w:rsidRPr="00B4191F" w:rsidRDefault="00BB2535" w:rsidP="00BB2535">
      <w:pPr>
        <w:rPr>
          <w:ins w:id="23" w:author="TNO - Sander de Kievit" w:date="2017-01-26T17:37:00Z"/>
        </w:rPr>
      </w:pPr>
      <w:ins w:id="24" w:author="TNO - Sander de Kievit" w:date="2017-01-26T17:37:00Z">
        <w:r w:rsidRPr="00507E61">
          <w:t>This solution addresses key is</w:t>
        </w:r>
        <w:r>
          <w:t xml:space="preserve">sue 1.15 about flexible UP security termination by introducing </w:t>
        </w:r>
        <w:proofErr w:type="spellStart"/>
        <w:r>
          <w:t>a</w:t>
        </w:r>
        <w:proofErr w:type="spellEnd"/>
        <w:r>
          <w:t xml:space="preserve"> UP-STF that is tasked with terminating the User Plane Security.</w:t>
        </w:r>
      </w:ins>
    </w:p>
    <w:p w:rsidR="00BB2535" w:rsidRDefault="00BB2535" w:rsidP="00BB2535">
      <w:pPr>
        <w:pStyle w:val="Heading5"/>
        <w:rPr>
          <w:ins w:id="25" w:author="TNO - Sander de Kievit" w:date="2017-01-26T17:37:00Z"/>
        </w:rPr>
      </w:pPr>
      <w:bookmarkStart w:id="26" w:name="_Toc450799645"/>
      <w:bookmarkStart w:id="27" w:name="_Toc452622410"/>
      <w:bookmarkStart w:id="28" w:name="_Toc452659383"/>
      <w:bookmarkStart w:id="29" w:name="_Toc452659796"/>
      <w:bookmarkStart w:id="30" w:name="_Toc452660215"/>
      <w:bookmarkStart w:id="31" w:name="_Toc452662363"/>
      <w:bookmarkStart w:id="32" w:name="_Toc452966474"/>
      <w:bookmarkStart w:id="33" w:name="_Toc452966891"/>
      <w:bookmarkStart w:id="34" w:name="_Toc452967305"/>
      <w:bookmarkStart w:id="35" w:name="_Toc452967718"/>
      <w:bookmarkStart w:id="36" w:name="_Toc452970027"/>
      <w:bookmarkStart w:id="37" w:name="_Toc457918000"/>
      <w:bookmarkStart w:id="38" w:name="_Toc457919068"/>
      <w:bookmarkStart w:id="39" w:name="_Toc467572855"/>
      <w:bookmarkStart w:id="40" w:name="_Toc467857661"/>
      <w:ins w:id="41" w:author="TNO - Sander de Kievit" w:date="2017-01-26T17:37:00Z">
        <w:r>
          <w:t>5.1.4.#KI15#.2</w:t>
        </w:r>
        <w:r>
          <w:tab/>
          <w:t>Solution details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t xml:space="preserve">  </w:t>
        </w:r>
      </w:ins>
    </w:p>
    <w:p w:rsidR="00BB2535" w:rsidRPr="00BB2535" w:rsidRDefault="00BB2535" w:rsidP="00BB2535">
      <w:pPr>
        <w:rPr>
          <w:ins w:id="42" w:author="TNO - Sander de Kievit" w:date="2017-01-26T17:37:00Z"/>
          <w:rFonts w:eastAsia="MS Mincho"/>
          <w:lang w:eastAsia="ja-JP"/>
        </w:rPr>
      </w:pPr>
      <w:ins w:id="43" w:author="TNO - Sander de Kievit" w:date="2017-01-26T17:37:00Z">
        <w:r>
          <w:t xml:space="preserve">For security reasons it is desirable to terminate the UP security beyond the </w:t>
        </w:r>
        <w:proofErr w:type="spellStart"/>
        <w:r>
          <w:t>gNB</w:t>
        </w:r>
        <w:proofErr w:type="spellEnd"/>
        <w:r>
          <w:t xml:space="preserve">. For reasons of flexibility it is desirable to be able to terminate the UP security at different points in the network depending on the service offered. For example: traffic with ultra-low latency requirements must be terminated in a location close to the UE, while other traffic from the same UE for other services needs protection through the whole backhaul. As such, it is proposed to define a specific function that is tasked with terminating the UP security. This newly introduced function is called the UP-STF. It </w:t>
        </w:r>
        <w:r>
          <w:rPr>
            <w:rFonts w:eastAsia="MS Mincho"/>
            <w:lang w:eastAsia="ja-JP"/>
          </w:rPr>
          <w:t>is logic</w:t>
        </w:r>
        <w:r w:rsidR="00032A98">
          <w:rPr>
            <w:rFonts w:eastAsia="MS Mincho"/>
            <w:lang w:eastAsia="ja-JP"/>
          </w:rPr>
          <w:t xml:space="preserve">ally positioned between the </w:t>
        </w:r>
        <w:proofErr w:type="spellStart"/>
        <w:r w:rsidR="00032A98">
          <w:rPr>
            <w:rFonts w:eastAsia="MS Mincho"/>
            <w:lang w:eastAsia="ja-JP"/>
          </w:rPr>
          <w:t>gNB</w:t>
        </w:r>
      </w:ins>
      <w:proofErr w:type="spellEnd"/>
      <w:ins w:id="44" w:author="TNO - Sander de Kievit" w:date="2017-01-26T17:40:00Z">
        <w:r>
          <w:rPr>
            <w:rFonts w:eastAsia="MS Mincho"/>
            <w:lang w:eastAsia="ja-JP"/>
          </w:rPr>
          <w:t xml:space="preserve"> </w:t>
        </w:r>
      </w:ins>
      <w:ins w:id="45" w:author="TNO - Sander de Kievit" w:date="2017-01-26T17:37:00Z">
        <w:r>
          <w:rPr>
            <w:rFonts w:eastAsia="MS Mincho"/>
            <w:lang w:eastAsia="ja-JP"/>
          </w:rPr>
          <w:t xml:space="preserve">and the NG Core, or </w:t>
        </w:r>
      </w:ins>
      <w:ins w:id="46" w:author="TNO - Sander de Kievit" w:date="2017-01-26T17:39:00Z">
        <w:r>
          <w:rPr>
            <w:rFonts w:eastAsia="MS Mincho"/>
            <w:lang w:eastAsia="ja-JP"/>
          </w:rPr>
          <w:t xml:space="preserve">is </w:t>
        </w:r>
      </w:ins>
      <w:ins w:id="47" w:author="TNO - Sander de Kievit" w:date="2017-01-26T17:37:00Z">
        <w:r>
          <w:rPr>
            <w:rFonts w:eastAsia="MS Mincho"/>
            <w:lang w:eastAsia="ja-JP"/>
          </w:rPr>
          <w:t>collocated with a function in the NG Core depending on the service offered.</w:t>
        </w:r>
      </w:ins>
    </w:p>
    <w:p w:rsidR="00BB2535" w:rsidRDefault="00BB2535" w:rsidP="00BB2535">
      <w:pPr>
        <w:pStyle w:val="Heading5"/>
        <w:rPr>
          <w:ins w:id="48" w:author="TNO - Sander de Kievit" w:date="2017-01-26T17:37:00Z"/>
        </w:rPr>
      </w:pPr>
      <w:bookmarkStart w:id="49" w:name="_Toc450799646"/>
      <w:bookmarkStart w:id="50" w:name="_Toc452622411"/>
      <w:bookmarkStart w:id="51" w:name="_Toc452659384"/>
      <w:bookmarkStart w:id="52" w:name="_Toc452659797"/>
      <w:bookmarkStart w:id="53" w:name="_Toc452660216"/>
      <w:bookmarkStart w:id="54" w:name="_Toc452662364"/>
      <w:bookmarkStart w:id="55" w:name="_Toc452966475"/>
      <w:bookmarkStart w:id="56" w:name="_Toc452966892"/>
      <w:bookmarkStart w:id="57" w:name="_Toc452967306"/>
      <w:bookmarkStart w:id="58" w:name="_Toc452967719"/>
      <w:bookmarkStart w:id="59" w:name="_Toc452970028"/>
      <w:bookmarkStart w:id="60" w:name="_Toc457918001"/>
      <w:bookmarkStart w:id="61" w:name="_Toc457919069"/>
      <w:bookmarkStart w:id="62" w:name="_Toc467572856"/>
      <w:bookmarkStart w:id="63" w:name="_Toc467857662"/>
      <w:ins w:id="64" w:author="TNO - Sander de Kievit" w:date="2017-01-26T17:37:00Z">
        <w:r>
          <w:t>5.1.4.#KI15#.3</w:t>
        </w:r>
        <w:r>
          <w:tab/>
          <w:t>Evaluation</w:t>
        </w:r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r>
          <w:t xml:space="preserve"> </w:t>
        </w:r>
      </w:ins>
    </w:p>
    <w:p w:rsidR="00C34D46" w:rsidRPr="00BB2535" w:rsidRDefault="00BB2535" w:rsidP="00BB2535">
      <w:pPr>
        <w:pStyle w:val="NO"/>
        <w:ind w:left="851"/>
      </w:pPr>
      <w:ins w:id="65" w:author="TNO - Sander de Kievit" w:date="2017-01-26T17:37:00Z">
        <w:r>
          <w:t xml:space="preserve">This solution straightforwardly addresses KI#1.15 by introducing </w:t>
        </w:r>
        <w:proofErr w:type="spellStart"/>
        <w:r>
          <w:t>a</w:t>
        </w:r>
        <w:proofErr w:type="spellEnd"/>
        <w:r>
          <w:t xml:space="preserve"> UP-STF that terminates the UP security.</w:t>
        </w:r>
      </w:ins>
    </w:p>
    <w:p w:rsidR="005D35C9" w:rsidRDefault="005D35C9" w:rsidP="005D35C9">
      <w:pPr>
        <w:pStyle w:val="Title"/>
      </w:pPr>
      <w:r>
        <w:rPr>
          <w:highlight w:val="yellow"/>
        </w:rPr>
        <w:t xml:space="preserve">**** </w:t>
      </w:r>
      <w:r w:rsidRPr="003D5158">
        <w:rPr>
          <w:highlight w:val="yellow"/>
        </w:rPr>
        <w:t>End of Chang</w:t>
      </w:r>
      <w:r>
        <w:rPr>
          <w:highlight w:val="yellow"/>
        </w:rPr>
        <w:t>e ****</w:t>
      </w:r>
    </w:p>
    <w:p w:rsidR="005D35C9" w:rsidRPr="005D35C9" w:rsidRDefault="005D35C9" w:rsidP="005D35C9"/>
    <w:sectPr w:rsidR="005D35C9" w:rsidRPr="005D35C9" w:rsidSect="00BA301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15C" w:rsidRDefault="00D1115C">
      <w:r>
        <w:separator/>
      </w:r>
    </w:p>
  </w:endnote>
  <w:endnote w:type="continuationSeparator" w:id="0">
    <w:p w:rsidR="00D1115C" w:rsidRDefault="00D11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15C" w:rsidRDefault="00D1115C">
      <w:r>
        <w:separator/>
      </w:r>
    </w:p>
  </w:footnote>
  <w:footnote w:type="continuationSeparator" w:id="0">
    <w:p w:rsidR="00D1115C" w:rsidRDefault="00D111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4B1168A"/>
    <w:multiLevelType w:val="hybridMultilevel"/>
    <w:tmpl w:val="57FCD4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46487DE3"/>
    <w:multiLevelType w:val="hybridMultilevel"/>
    <w:tmpl w:val="2A068016"/>
    <w:lvl w:ilvl="0" w:tplc="488CA20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9272FF0"/>
    <w:multiLevelType w:val="hybridMultilevel"/>
    <w:tmpl w:val="725CB1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0"/>
  </w:num>
  <w:num w:numId="9">
    <w:abstractNumId w:val="17"/>
  </w:num>
  <w:num w:numId="10">
    <w:abstractNumId w:val="18"/>
  </w:num>
  <w:num w:numId="11">
    <w:abstractNumId w:val="11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5"/>
  </w:num>
  <w:num w:numId="21">
    <w:abstractNumId w:val="12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activeWritingStyle w:appName="MSWord" w:lang="en-GB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73B44"/>
    <w:rsid w:val="0002570D"/>
    <w:rsid w:val="000316B1"/>
    <w:rsid w:val="00032A98"/>
    <w:rsid w:val="000A3F02"/>
    <w:rsid w:val="000B4A8C"/>
    <w:rsid w:val="000C624D"/>
    <w:rsid w:val="000E0B4C"/>
    <w:rsid w:val="000E301F"/>
    <w:rsid w:val="00115181"/>
    <w:rsid w:val="00124F4A"/>
    <w:rsid w:val="001306A7"/>
    <w:rsid w:val="00163D53"/>
    <w:rsid w:val="001B1FAC"/>
    <w:rsid w:val="001B241A"/>
    <w:rsid w:val="00202823"/>
    <w:rsid w:val="00220817"/>
    <w:rsid w:val="002B1704"/>
    <w:rsid w:val="002D326B"/>
    <w:rsid w:val="003435DA"/>
    <w:rsid w:val="0039206D"/>
    <w:rsid w:val="003D5158"/>
    <w:rsid w:val="003F29F8"/>
    <w:rsid w:val="003F72F2"/>
    <w:rsid w:val="00422D7B"/>
    <w:rsid w:val="00440DAB"/>
    <w:rsid w:val="004858A7"/>
    <w:rsid w:val="00497CA6"/>
    <w:rsid w:val="004D25A0"/>
    <w:rsid w:val="004D7E0B"/>
    <w:rsid w:val="005032A9"/>
    <w:rsid w:val="00504B6A"/>
    <w:rsid w:val="005147F8"/>
    <w:rsid w:val="00550A99"/>
    <w:rsid w:val="00560999"/>
    <w:rsid w:val="0057163F"/>
    <w:rsid w:val="00596E35"/>
    <w:rsid w:val="005D26D0"/>
    <w:rsid w:val="005D35C9"/>
    <w:rsid w:val="00645ED5"/>
    <w:rsid w:val="00660DFB"/>
    <w:rsid w:val="006A6D9F"/>
    <w:rsid w:val="006B7B6B"/>
    <w:rsid w:val="006D099E"/>
    <w:rsid w:val="006E0ABF"/>
    <w:rsid w:val="006E31B4"/>
    <w:rsid w:val="006F0925"/>
    <w:rsid w:val="006F3B83"/>
    <w:rsid w:val="007362D1"/>
    <w:rsid w:val="00746402"/>
    <w:rsid w:val="007D3FD4"/>
    <w:rsid w:val="0081731F"/>
    <w:rsid w:val="00823CC8"/>
    <w:rsid w:val="00823EBA"/>
    <w:rsid w:val="008905F8"/>
    <w:rsid w:val="008D6683"/>
    <w:rsid w:val="008F66A3"/>
    <w:rsid w:val="009058BB"/>
    <w:rsid w:val="00921387"/>
    <w:rsid w:val="00923D13"/>
    <w:rsid w:val="00973B44"/>
    <w:rsid w:val="009A2621"/>
    <w:rsid w:val="009E4EA0"/>
    <w:rsid w:val="00A012A6"/>
    <w:rsid w:val="00A05A6F"/>
    <w:rsid w:val="00A71249"/>
    <w:rsid w:val="00A9639D"/>
    <w:rsid w:val="00B16A78"/>
    <w:rsid w:val="00B263C7"/>
    <w:rsid w:val="00B42781"/>
    <w:rsid w:val="00B6514C"/>
    <w:rsid w:val="00B7791C"/>
    <w:rsid w:val="00BA301E"/>
    <w:rsid w:val="00BB2535"/>
    <w:rsid w:val="00BE39A0"/>
    <w:rsid w:val="00C34D46"/>
    <w:rsid w:val="00C60C46"/>
    <w:rsid w:val="00CD11A4"/>
    <w:rsid w:val="00CE4176"/>
    <w:rsid w:val="00CE4C0C"/>
    <w:rsid w:val="00D1115C"/>
    <w:rsid w:val="00D92DE9"/>
    <w:rsid w:val="00D95EE7"/>
    <w:rsid w:val="00D96DBC"/>
    <w:rsid w:val="00DA5721"/>
    <w:rsid w:val="00DD65AE"/>
    <w:rsid w:val="00E8526A"/>
    <w:rsid w:val="00E8538B"/>
    <w:rsid w:val="00EB0942"/>
    <w:rsid w:val="00EB4315"/>
    <w:rsid w:val="00EC23FC"/>
    <w:rsid w:val="00EC27AE"/>
    <w:rsid w:val="00EF6FAC"/>
    <w:rsid w:val="00F00D7F"/>
    <w:rsid w:val="00FE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A301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A301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BA301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BA301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A301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A301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A301E"/>
    <w:pPr>
      <w:outlineLvl w:val="5"/>
    </w:pPr>
  </w:style>
  <w:style w:type="paragraph" w:styleId="Heading7">
    <w:name w:val="heading 7"/>
    <w:basedOn w:val="H6"/>
    <w:next w:val="Normal"/>
    <w:qFormat/>
    <w:rsid w:val="00BA301E"/>
    <w:pPr>
      <w:outlineLvl w:val="6"/>
    </w:pPr>
  </w:style>
  <w:style w:type="paragraph" w:styleId="Heading8">
    <w:name w:val="heading 8"/>
    <w:basedOn w:val="Heading1"/>
    <w:next w:val="Normal"/>
    <w:qFormat/>
    <w:rsid w:val="00BA301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A301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A301E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BA301E"/>
    <w:pPr>
      <w:spacing w:before="180"/>
      <w:ind w:left="2693" w:hanging="2693"/>
    </w:pPr>
    <w:rPr>
      <w:b/>
    </w:rPr>
  </w:style>
  <w:style w:type="paragraph" w:styleId="TOC1">
    <w:name w:val="toc 1"/>
    <w:semiHidden/>
    <w:rsid w:val="00BA301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A301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A301E"/>
    <w:pPr>
      <w:ind w:left="1701" w:hanging="1701"/>
    </w:pPr>
  </w:style>
  <w:style w:type="paragraph" w:styleId="TOC4">
    <w:name w:val="toc 4"/>
    <w:basedOn w:val="TOC3"/>
    <w:semiHidden/>
    <w:rsid w:val="00BA301E"/>
    <w:pPr>
      <w:ind w:left="1418" w:hanging="1418"/>
    </w:pPr>
  </w:style>
  <w:style w:type="paragraph" w:styleId="TOC3">
    <w:name w:val="toc 3"/>
    <w:basedOn w:val="TOC2"/>
    <w:semiHidden/>
    <w:rsid w:val="00BA301E"/>
    <w:pPr>
      <w:ind w:left="1134" w:hanging="1134"/>
    </w:pPr>
  </w:style>
  <w:style w:type="paragraph" w:styleId="TOC2">
    <w:name w:val="toc 2"/>
    <w:basedOn w:val="TOC1"/>
    <w:semiHidden/>
    <w:rsid w:val="00BA301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A301E"/>
    <w:pPr>
      <w:ind w:left="284"/>
    </w:pPr>
  </w:style>
  <w:style w:type="paragraph" w:styleId="Index1">
    <w:name w:val="index 1"/>
    <w:basedOn w:val="Normal"/>
    <w:semiHidden/>
    <w:rsid w:val="00BA301E"/>
    <w:pPr>
      <w:keepLines/>
      <w:spacing w:after="0"/>
    </w:pPr>
  </w:style>
  <w:style w:type="paragraph" w:customStyle="1" w:styleId="ZH">
    <w:name w:val="ZH"/>
    <w:rsid w:val="00BA301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BA301E"/>
    <w:pPr>
      <w:outlineLvl w:val="9"/>
    </w:pPr>
  </w:style>
  <w:style w:type="paragraph" w:styleId="ListNumber2">
    <w:name w:val="List Number 2"/>
    <w:basedOn w:val="ListNumber"/>
    <w:rsid w:val="00BA301E"/>
    <w:pPr>
      <w:ind w:left="851"/>
    </w:pPr>
  </w:style>
  <w:style w:type="paragraph" w:styleId="ListNumber">
    <w:name w:val="List Number"/>
    <w:basedOn w:val="List"/>
    <w:rsid w:val="00BA301E"/>
  </w:style>
  <w:style w:type="paragraph" w:styleId="List">
    <w:name w:val="List"/>
    <w:basedOn w:val="Normal"/>
    <w:rsid w:val="00BA301E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BA301E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A301E"/>
    <w:rPr>
      <w:b/>
      <w:position w:val="6"/>
      <w:sz w:val="16"/>
    </w:rPr>
  </w:style>
  <w:style w:type="paragraph" w:styleId="FootnoteText">
    <w:name w:val="footnote text"/>
    <w:basedOn w:val="Normal"/>
    <w:semiHidden/>
    <w:rsid w:val="00BA301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A301E"/>
    <w:rPr>
      <w:b/>
    </w:rPr>
  </w:style>
  <w:style w:type="paragraph" w:customStyle="1" w:styleId="TAC">
    <w:name w:val="TAC"/>
    <w:basedOn w:val="TAL"/>
    <w:rsid w:val="00BA301E"/>
    <w:pPr>
      <w:jc w:val="center"/>
    </w:pPr>
  </w:style>
  <w:style w:type="paragraph" w:customStyle="1" w:styleId="TAL">
    <w:name w:val="TAL"/>
    <w:basedOn w:val="Normal"/>
    <w:rsid w:val="00BA301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BA301E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BA301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BA301E"/>
    <w:pPr>
      <w:keepLines/>
      <w:ind w:left="1135" w:hanging="851"/>
    </w:pPr>
  </w:style>
  <w:style w:type="paragraph" w:styleId="TOC9">
    <w:name w:val="toc 9"/>
    <w:basedOn w:val="TOC8"/>
    <w:semiHidden/>
    <w:rsid w:val="00BA301E"/>
    <w:pPr>
      <w:ind w:left="1418" w:hanging="1418"/>
    </w:pPr>
  </w:style>
  <w:style w:type="paragraph" w:customStyle="1" w:styleId="EX">
    <w:name w:val="EX"/>
    <w:basedOn w:val="Normal"/>
    <w:rsid w:val="00BA301E"/>
    <w:pPr>
      <w:keepLines/>
      <w:ind w:left="1702" w:hanging="1418"/>
    </w:pPr>
  </w:style>
  <w:style w:type="paragraph" w:customStyle="1" w:styleId="FP">
    <w:name w:val="FP"/>
    <w:basedOn w:val="Normal"/>
    <w:rsid w:val="00BA301E"/>
    <w:pPr>
      <w:spacing w:after="0"/>
    </w:pPr>
  </w:style>
  <w:style w:type="paragraph" w:customStyle="1" w:styleId="LD">
    <w:name w:val="LD"/>
    <w:rsid w:val="00BA301E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A301E"/>
    <w:pPr>
      <w:spacing w:after="0"/>
    </w:pPr>
  </w:style>
  <w:style w:type="paragraph" w:customStyle="1" w:styleId="EW">
    <w:name w:val="EW"/>
    <w:basedOn w:val="EX"/>
    <w:rsid w:val="00BA301E"/>
    <w:pPr>
      <w:spacing w:after="0"/>
    </w:pPr>
  </w:style>
  <w:style w:type="paragraph" w:styleId="TOC6">
    <w:name w:val="toc 6"/>
    <w:basedOn w:val="TOC5"/>
    <w:next w:val="Normal"/>
    <w:semiHidden/>
    <w:rsid w:val="00BA301E"/>
    <w:pPr>
      <w:ind w:left="1985" w:hanging="1985"/>
    </w:pPr>
  </w:style>
  <w:style w:type="paragraph" w:styleId="TOC7">
    <w:name w:val="toc 7"/>
    <w:basedOn w:val="TOC6"/>
    <w:next w:val="Normal"/>
    <w:semiHidden/>
    <w:rsid w:val="00BA301E"/>
    <w:pPr>
      <w:ind w:left="2268" w:hanging="2268"/>
    </w:pPr>
  </w:style>
  <w:style w:type="paragraph" w:styleId="ListBullet2">
    <w:name w:val="List Bullet 2"/>
    <w:basedOn w:val="ListBullet"/>
    <w:rsid w:val="00BA301E"/>
    <w:pPr>
      <w:ind w:left="851"/>
    </w:pPr>
  </w:style>
  <w:style w:type="paragraph" w:styleId="ListBullet">
    <w:name w:val="List Bullet"/>
    <w:basedOn w:val="List"/>
    <w:rsid w:val="00BA301E"/>
  </w:style>
  <w:style w:type="paragraph" w:styleId="ListBullet3">
    <w:name w:val="List Bullet 3"/>
    <w:basedOn w:val="ListBullet2"/>
    <w:rsid w:val="00BA301E"/>
    <w:pPr>
      <w:ind w:left="1135"/>
    </w:pPr>
  </w:style>
  <w:style w:type="paragraph" w:customStyle="1" w:styleId="EQ">
    <w:name w:val="EQ"/>
    <w:basedOn w:val="Normal"/>
    <w:next w:val="Normal"/>
    <w:rsid w:val="00BA301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A301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A301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A301E"/>
    <w:pPr>
      <w:jc w:val="right"/>
    </w:pPr>
  </w:style>
  <w:style w:type="paragraph" w:customStyle="1" w:styleId="TAN">
    <w:name w:val="TAN"/>
    <w:basedOn w:val="TAL"/>
    <w:rsid w:val="00BA301E"/>
    <w:pPr>
      <w:ind w:left="851" w:hanging="851"/>
    </w:pPr>
  </w:style>
  <w:style w:type="paragraph" w:customStyle="1" w:styleId="ZA">
    <w:name w:val="ZA"/>
    <w:rsid w:val="00BA301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A301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A301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A301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A301E"/>
    <w:pPr>
      <w:framePr w:wrap="notBeside" w:y="16161"/>
    </w:pPr>
  </w:style>
  <w:style w:type="character" w:customStyle="1" w:styleId="ZGSM">
    <w:name w:val="ZGSM"/>
    <w:rsid w:val="00BA301E"/>
  </w:style>
  <w:style w:type="paragraph" w:styleId="List2">
    <w:name w:val="List 2"/>
    <w:basedOn w:val="List"/>
    <w:rsid w:val="00BA301E"/>
    <w:pPr>
      <w:ind w:left="851"/>
    </w:pPr>
  </w:style>
  <w:style w:type="paragraph" w:customStyle="1" w:styleId="ZG">
    <w:name w:val="ZG"/>
    <w:rsid w:val="00BA301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BA301E"/>
    <w:pPr>
      <w:ind w:left="1135"/>
    </w:pPr>
  </w:style>
  <w:style w:type="paragraph" w:styleId="List4">
    <w:name w:val="List 4"/>
    <w:basedOn w:val="List3"/>
    <w:rsid w:val="00BA301E"/>
    <w:pPr>
      <w:ind w:left="1418"/>
    </w:pPr>
  </w:style>
  <w:style w:type="paragraph" w:styleId="List5">
    <w:name w:val="List 5"/>
    <w:basedOn w:val="List4"/>
    <w:rsid w:val="00BA301E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BA301E"/>
    <w:rPr>
      <w:color w:val="FF0000"/>
    </w:rPr>
  </w:style>
  <w:style w:type="paragraph" w:styleId="ListBullet4">
    <w:name w:val="List Bullet 4"/>
    <w:basedOn w:val="ListBullet3"/>
    <w:rsid w:val="00BA301E"/>
    <w:pPr>
      <w:ind w:left="1418"/>
    </w:pPr>
  </w:style>
  <w:style w:type="paragraph" w:styleId="ListBullet5">
    <w:name w:val="List Bullet 5"/>
    <w:basedOn w:val="ListBullet4"/>
    <w:rsid w:val="00BA301E"/>
    <w:pPr>
      <w:ind w:left="1702"/>
    </w:pPr>
  </w:style>
  <w:style w:type="paragraph" w:customStyle="1" w:styleId="B1">
    <w:name w:val="B1"/>
    <w:basedOn w:val="List"/>
    <w:link w:val="B1Char"/>
    <w:qFormat/>
    <w:rsid w:val="00BA301E"/>
  </w:style>
  <w:style w:type="paragraph" w:customStyle="1" w:styleId="B2">
    <w:name w:val="B2"/>
    <w:basedOn w:val="List2"/>
    <w:rsid w:val="00BA301E"/>
  </w:style>
  <w:style w:type="paragraph" w:customStyle="1" w:styleId="B3">
    <w:name w:val="B3"/>
    <w:basedOn w:val="List3"/>
    <w:rsid w:val="00BA301E"/>
  </w:style>
  <w:style w:type="paragraph" w:customStyle="1" w:styleId="B4">
    <w:name w:val="B4"/>
    <w:basedOn w:val="List4"/>
    <w:rsid w:val="00BA301E"/>
  </w:style>
  <w:style w:type="paragraph" w:customStyle="1" w:styleId="B5">
    <w:name w:val="B5"/>
    <w:basedOn w:val="List5"/>
    <w:rsid w:val="00BA301E"/>
  </w:style>
  <w:style w:type="paragraph" w:styleId="Footer">
    <w:name w:val="footer"/>
    <w:basedOn w:val="Header"/>
    <w:rsid w:val="00BA301E"/>
    <w:pPr>
      <w:jc w:val="center"/>
    </w:pPr>
    <w:rPr>
      <w:i/>
    </w:rPr>
  </w:style>
  <w:style w:type="paragraph" w:customStyle="1" w:styleId="ZTD">
    <w:name w:val="ZTD"/>
    <w:basedOn w:val="ZB"/>
    <w:rsid w:val="00BA301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A301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A301E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BA301E"/>
    <w:rPr>
      <w:color w:val="0000FF"/>
      <w:u w:val="single"/>
    </w:rPr>
  </w:style>
  <w:style w:type="character" w:styleId="CommentReference">
    <w:name w:val="annotation reference"/>
    <w:semiHidden/>
    <w:rsid w:val="00BA301E"/>
    <w:rPr>
      <w:sz w:val="16"/>
    </w:rPr>
  </w:style>
  <w:style w:type="paragraph" w:styleId="CommentText">
    <w:name w:val="annotation text"/>
    <w:basedOn w:val="Normal"/>
    <w:link w:val="CommentTextChar"/>
    <w:semiHidden/>
    <w:rsid w:val="00BA301E"/>
  </w:style>
  <w:style w:type="character" w:styleId="FollowedHyperlink">
    <w:name w:val="FollowedHyperlink"/>
    <w:rsid w:val="00BA301E"/>
    <w:rPr>
      <w:color w:val="800080"/>
      <w:u w:val="single"/>
    </w:rPr>
  </w:style>
  <w:style w:type="paragraph" w:styleId="BalloonText">
    <w:name w:val="Balloon Text"/>
    <w:basedOn w:val="Normal"/>
    <w:semiHidden/>
    <w:rsid w:val="00BA301E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BA30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BA301E"/>
  </w:style>
  <w:style w:type="table" w:styleId="TableGrid">
    <w:name w:val="Table Grid"/>
    <w:basedOn w:val="TableNormal"/>
    <w:rsid w:val="006B7B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link w:val="EditorsNote"/>
    <w:rsid w:val="003D5158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link w:val="Heading5"/>
    <w:rsid w:val="003D5158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3D515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3D5158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3D515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D5158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D5158"/>
    <w:rPr>
      <w:b/>
      <w:bCs/>
    </w:rPr>
  </w:style>
  <w:style w:type="character" w:customStyle="1" w:styleId="CommentTextChar">
    <w:name w:val="Comment Text Char"/>
    <w:link w:val="CommentText"/>
    <w:semiHidden/>
    <w:rsid w:val="003D515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D5158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5D26D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B253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BB2535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A301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A301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BA301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BA301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A301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A301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A301E"/>
    <w:pPr>
      <w:outlineLvl w:val="5"/>
    </w:pPr>
  </w:style>
  <w:style w:type="paragraph" w:styleId="Heading7">
    <w:name w:val="heading 7"/>
    <w:basedOn w:val="H6"/>
    <w:next w:val="Normal"/>
    <w:qFormat/>
    <w:rsid w:val="00BA301E"/>
    <w:pPr>
      <w:outlineLvl w:val="6"/>
    </w:pPr>
  </w:style>
  <w:style w:type="paragraph" w:styleId="Heading8">
    <w:name w:val="heading 8"/>
    <w:basedOn w:val="Heading1"/>
    <w:next w:val="Normal"/>
    <w:qFormat/>
    <w:rsid w:val="00BA301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A301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A301E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BA301E"/>
    <w:pPr>
      <w:spacing w:before="180"/>
      <w:ind w:left="2693" w:hanging="2693"/>
    </w:pPr>
    <w:rPr>
      <w:b/>
    </w:rPr>
  </w:style>
  <w:style w:type="paragraph" w:styleId="TOC1">
    <w:name w:val="toc 1"/>
    <w:semiHidden/>
    <w:rsid w:val="00BA301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A301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A301E"/>
    <w:pPr>
      <w:ind w:left="1701" w:hanging="1701"/>
    </w:pPr>
  </w:style>
  <w:style w:type="paragraph" w:styleId="TOC4">
    <w:name w:val="toc 4"/>
    <w:basedOn w:val="TOC3"/>
    <w:semiHidden/>
    <w:rsid w:val="00BA301E"/>
    <w:pPr>
      <w:ind w:left="1418" w:hanging="1418"/>
    </w:pPr>
  </w:style>
  <w:style w:type="paragraph" w:styleId="TOC3">
    <w:name w:val="toc 3"/>
    <w:basedOn w:val="TOC2"/>
    <w:semiHidden/>
    <w:rsid w:val="00BA301E"/>
    <w:pPr>
      <w:ind w:left="1134" w:hanging="1134"/>
    </w:pPr>
  </w:style>
  <w:style w:type="paragraph" w:styleId="TOC2">
    <w:name w:val="toc 2"/>
    <w:basedOn w:val="TOC1"/>
    <w:semiHidden/>
    <w:rsid w:val="00BA301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A301E"/>
    <w:pPr>
      <w:ind w:left="284"/>
    </w:pPr>
  </w:style>
  <w:style w:type="paragraph" w:styleId="Index1">
    <w:name w:val="index 1"/>
    <w:basedOn w:val="Normal"/>
    <w:semiHidden/>
    <w:rsid w:val="00BA301E"/>
    <w:pPr>
      <w:keepLines/>
      <w:spacing w:after="0"/>
    </w:pPr>
  </w:style>
  <w:style w:type="paragraph" w:customStyle="1" w:styleId="ZH">
    <w:name w:val="ZH"/>
    <w:rsid w:val="00BA301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BA301E"/>
    <w:pPr>
      <w:outlineLvl w:val="9"/>
    </w:pPr>
  </w:style>
  <w:style w:type="paragraph" w:styleId="ListNumber2">
    <w:name w:val="List Number 2"/>
    <w:basedOn w:val="ListNumber"/>
    <w:rsid w:val="00BA301E"/>
    <w:pPr>
      <w:ind w:left="851"/>
    </w:pPr>
  </w:style>
  <w:style w:type="paragraph" w:styleId="ListNumber">
    <w:name w:val="List Number"/>
    <w:basedOn w:val="List"/>
    <w:rsid w:val="00BA301E"/>
  </w:style>
  <w:style w:type="paragraph" w:styleId="List">
    <w:name w:val="List"/>
    <w:basedOn w:val="Normal"/>
    <w:rsid w:val="00BA301E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BA301E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A301E"/>
    <w:rPr>
      <w:b/>
      <w:position w:val="6"/>
      <w:sz w:val="16"/>
    </w:rPr>
  </w:style>
  <w:style w:type="paragraph" w:styleId="FootnoteText">
    <w:name w:val="footnote text"/>
    <w:basedOn w:val="Normal"/>
    <w:semiHidden/>
    <w:rsid w:val="00BA301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A301E"/>
    <w:rPr>
      <w:b/>
    </w:rPr>
  </w:style>
  <w:style w:type="paragraph" w:customStyle="1" w:styleId="TAC">
    <w:name w:val="TAC"/>
    <w:basedOn w:val="TAL"/>
    <w:rsid w:val="00BA301E"/>
    <w:pPr>
      <w:jc w:val="center"/>
    </w:pPr>
  </w:style>
  <w:style w:type="paragraph" w:customStyle="1" w:styleId="TAL">
    <w:name w:val="TAL"/>
    <w:basedOn w:val="Normal"/>
    <w:rsid w:val="00BA301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BA301E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BA301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BA301E"/>
    <w:pPr>
      <w:keepLines/>
      <w:ind w:left="1135" w:hanging="851"/>
    </w:pPr>
  </w:style>
  <w:style w:type="paragraph" w:styleId="TOC9">
    <w:name w:val="toc 9"/>
    <w:basedOn w:val="TOC8"/>
    <w:semiHidden/>
    <w:rsid w:val="00BA301E"/>
    <w:pPr>
      <w:ind w:left="1418" w:hanging="1418"/>
    </w:pPr>
  </w:style>
  <w:style w:type="paragraph" w:customStyle="1" w:styleId="EX">
    <w:name w:val="EX"/>
    <w:basedOn w:val="Normal"/>
    <w:rsid w:val="00BA301E"/>
    <w:pPr>
      <w:keepLines/>
      <w:ind w:left="1702" w:hanging="1418"/>
    </w:pPr>
  </w:style>
  <w:style w:type="paragraph" w:customStyle="1" w:styleId="FP">
    <w:name w:val="FP"/>
    <w:basedOn w:val="Normal"/>
    <w:rsid w:val="00BA301E"/>
    <w:pPr>
      <w:spacing w:after="0"/>
    </w:pPr>
  </w:style>
  <w:style w:type="paragraph" w:customStyle="1" w:styleId="LD">
    <w:name w:val="LD"/>
    <w:rsid w:val="00BA301E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A301E"/>
    <w:pPr>
      <w:spacing w:after="0"/>
    </w:pPr>
  </w:style>
  <w:style w:type="paragraph" w:customStyle="1" w:styleId="EW">
    <w:name w:val="EW"/>
    <w:basedOn w:val="EX"/>
    <w:rsid w:val="00BA301E"/>
    <w:pPr>
      <w:spacing w:after="0"/>
    </w:pPr>
  </w:style>
  <w:style w:type="paragraph" w:styleId="TOC6">
    <w:name w:val="toc 6"/>
    <w:basedOn w:val="TOC5"/>
    <w:next w:val="Normal"/>
    <w:semiHidden/>
    <w:rsid w:val="00BA301E"/>
    <w:pPr>
      <w:ind w:left="1985" w:hanging="1985"/>
    </w:pPr>
  </w:style>
  <w:style w:type="paragraph" w:styleId="TOC7">
    <w:name w:val="toc 7"/>
    <w:basedOn w:val="TOC6"/>
    <w:next w:val="Normal"/>
    <w:semiHidden/>
    <w:rsid w:val="00BA301E"/>
    <w:pPr>
      <w:ind w:left="2268" w:hanging="2268"/>
    </w:pPr>
  </w:style>
  <w:style w:type="paragraph" w:styleId="ListBullet2">
    <w:name w:val="List Bullet 2"/>
    <w:basedOn w:val="ListBullet"/>
    <w:rsid w:val="00BA301E"/>
    <w:pPr>
      <w:ind w:left="851"/>
    </w:pPr>
  </w:style>
  <w:style w:type="paragraph" w:styleId="ListBullet">
    <w:name w:val="List Bullet"/>
    <w:basedOn w:val="List"/>
    <w:rsid w:val="00BA301E"/>
  </w:style>
  <w:style w:type="paragraph" w:styleId="ListBullet3">
    <w:name w:val="List Bullet 3"/>
    <w:basedOn w:val="ListBullet2"/>
    <w:rsid w:val="00BA301E"/>
    <w:pPr>
      <w:ind w:left="1135"/>
    </w:pPr>
  </w:style>
  <w:style w:type="paragraph" w:customStyle="1" w:styleId="EQ">
    <w:name w:val="EQ"/>
    <w:basedOn w:val="Normal"/>
    <w:next w:val="Normal"/>
    <w:rsid w:val="00BA301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A301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A301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A301E"/>
    <w:pPr>
      <w:jc w:val="right"/>
    </w:pPr>
  </w:style>
  <w:style w:type="paragraph" w:customStyle="1" w:styleId="TAN">
    <w:name w:val="TAN"/>
    <w:basedOn w:val="TAL"/>
    <w:rsid w:val="00BA301E"/>
    <w:pPr>
      <w:ind w:left="851" w:hanging="851"/>
    </w:pPr>
  </w:style>
  <w:style w:type="paragraph" w:customStyle="1" w:styleId="ZA">
    <w:name w:val="ZA"/>
    <w:rsid w:val="00BA301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A301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A301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A301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A301E"/>
    <w:pPr>
      <w:framePr w:wrap="notBeside" w:y="16161"/>
    </w:pPr>
  </w:style>
  <w:style w:type="character" w:customStyle="1" w:styleId="ZGSM">
    <w:name w:val="ZGSM"/>
    <w:rsid w:val="00BA301E"/>
  </w:style>
  <w:style w:type="paragraph" w:styleId="List2">
    <w:name w:val="List 2"/>
    <w:basedOn w:val="List"/>
    <w:rsid w:val="00BA301E"/>
    <w:pPr>
      <w:ind w:left="851"/>
    </w:pPr>
  </w:style>
  <w:style w:type="paragraph" w:customStyle="1" w:styleId="ZG">
    <w:name w:val="ZG"/>
    <w:rsid w:val="00BA301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BA301E"/>
    <w:pPr>
      <w:ind w:left="1135"/>
    </w:pPr>
  </w:style>
  <w:style w:type="paragraph" w:styleId="List4">
    <w:name w:val="List 4"/>
    <w:basedOn w:val="List3"/>
    <w:rsid w:val="00BA301E"/>
    <w:pPr>
      <w:ind w:left="1418"/>
    </w:pPr>
  </w:style>
  <w:style w:type="paragraph" w:styleId="List5">
    <w:name w:val="List 5"/>
    <w:basedOn w:val="List4"/>
    <w:rsid w:val="00BA301E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BA301E"/>
    <w:rPr>
      <w:color w:val="FF0000"/>
    </w:rPr>
  </w:style>
  <w:style w:type="paragraph" w:styleId="ListBullet4">
    <w:name w:val="List Bullet 4"/>
    <w:basedOn w:val="ListBullet3"/>
    <w:rsid w:val="00BA301E"/>
    <w:pPr>
      <w:ind w:left="1418"/>
    </w:pPr>
  </w:style>
  <w:style w:type="paragraph" w:styleId="ListBullet5">
    <w:name w:val="List Bullet 5"/>
    <w:basedOn w:val="ListBullet4"/>
    <w:rsid w:val="00BA301E"/>
    <w:pPr>
      <w:ind w:left="1702"/>
    </w:pPr>
  </w:style>
  <w:style w:type="paragraph" w:customStyle="1" w:styleId="B1">
    <w:name w:val="B1"/>
    <w:basedOn w:val="List"/>
    <w:link w:val="B1Char"/>
    <w:qFormat/>
    <w:rsid w:val="00BA301E"/>
  </w:style>
  <w:style w:type="paragraph" w:customStyle="1" w:styleId="B2">
    <w:name w:val="B2"/>
    <w:basedOn w:val="List2"/>
    <w:rsid w:val="00BA301E"/>
  </w:style>
  <w:style w:type="paragraph" w:customStyle="1" w:styleId="B3">
    <w:name w:val="B3"/>
    <w:basedOn w:val="List3"/>
    <w:rsid w:val="00BA301E"/>
  </w:style>
  <w:style w:type="paragraph" w:customStyle="1" w:styleId="B4">
    <w:name w:val="B4"/>
    <w:basedOn w:val="List4"/>
    <w:rsid w:val="00BA301E"/>
  </w:style>
  <w:style w:type="paragraph" w:customStyle="1" w:styleId="B5">
    <w:name w:val="B5"/>
    <w:basedOn w:val="List5"/>
    <w:rsid w:val="00BA301E"/>
  </w:style>
  <w:style w:type="paragraph" w:styleId="Footer">
    <w:name w:val="footer"/>
    <w:basedOn w:val="Header"/>
    <w:rsid w:val="00BA301E"/>
    <w:pPr>
      <w:jc w:val="center"/>
    </w:pPr>
    <w:rPr>
      <w:i/>
    </w:rPr>
  </w:style>
  <w:style w:type="paragraph" w:customStyle="1" w:styleId="ZTD">
    <w:name w:val="ZTD"/>
    <w:basedOn w:val="ZB"/>
    <w:rsid w:val="00BA301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A301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A301E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BA301E"/>
    <w:rPr>
      <w:color w:val="0000FF"/>
      <w:u w:val="single"/>
    </w:rPr>
  </w:style>
  <w:style w:type="character" w:styleId="CommentReference">
    <w:name w:val="annotation reference"/>
    <w:semiHidden/>
    <w:rsid w:val="00BA301E"/>
    <w:rPr>
      <w:sz w:val="16"/>
    </w:rPr>
  </w:style>
  <w:style w:type="paragraph" w:styleId="CommentText">
    <w:name w:val="annotation text"/>
    <w:basedOn w:val="Normal"/>
    <w:link w:val="CommentTextChar"/>
    <w:semiHidden/>
    <w:rsid w:val="00BA301E"/>
  </w:style>
  <w:style w:type="character" w:styleId="FollowedHyperlink">
    <w:name w:val="FollowedHyperlink"/>
    <w:rsid w:val="00BA301E"/>
    <w:rPr>
      <w:color w:val="800080"/>
      <w:u w:val="single"/>
    </w:rPr>
  </w:style>
  <w:style w:type="paragraph" w:styleId="BalloonText">
    <w:name w:val="Balloon Text"/>
    <w:basedOn w:val="Normal"/>
    <w:semiHidden/>
    <w:rsid w:val="00BA301E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BA30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BA301E"/>
  </w:style>
  <w:style w:type="table" w:styleId="TableGrid">
    <w:name w:val="Table Grid"/>
    <w:basedOn w:val="TableNormal"/>
    <w:rsid w:val="006B7B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link w:val="EditorsNote"/>
    <w:rsid w:val="003D5158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link w:val="Heading5"/>
    <w:rsid w:val="003D5158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3D515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3D5158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3D515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D5158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D5158"/>
    <w:rPr>
      <w:b/>
      <w:bCs/>
    </w:rPr>
  </w:style>
  <w:style w:type="character" w:customStyle="1" w:styleId="CommentTextChar">
    <w:name w:val="Comment Text Char"/>
    <w:link w:val="CommentText"/>
    <w:semiHidden/>
    <w:rsid w:val="003D515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D5158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5D26D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B253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BB253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585</Words>
  <Characters>3131</Characters>
  <Application>Microsoft Office Word</Application>
  <DocSecurity>0</DocSecurity>
  <Lines>62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TNO - Sander de Kievit</cp:lastModifiedBy>
  <cp:revision>4</cp:revision>
  <cp:lastPrinted>1900-12-31T23:00:00Z</cp:lastPrinted>
  <dcterms:created xsi:type="dcterms:W3CDTF">2017-01-27T09:04:00Z</dcterms:created>
  <dcterms:modified xsi:type="dcterms:W3CDTF">2017-01-27T16:39:00Z</dcterms:modified>
</cp:coreProperties>
</file>